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2918DB" w14:textId="4472481E" w:rsidR="00874286" w:rsidRPr="00D87958" w:rsidRDefault="002D6A07" w:rsidP="00D87958">
      <w:pPr>
        <w:pStyle w:val="NoSpacing"/>
        <w:jc w:val="center"/>
        <w:rPr>
          <w:b/>
          <w:sz w:val="44"/>
          <w:szCs w:val="44"/>
          <w:u w:val="single"/>
        </w:rPr>
      </w:pPr>
      <w:r>
        <w:rPr>
          <w:b/>
          <w:sz w:val="44"/>
          <w:szCs w:val="44"/>
          <w:u w:val="single"/>
        </w:rPr>
        <w:t>Green’s Functions and Such</w:t>
      </w:r>
    </w:p>
    <w:p w14:paraId="2CDE10CA" w14:textId="673AAF25" w:rsidR="00D87958" w:rsidRDefault="00D87958" w:rsidP="00D87958">
      <w:pPr>
        <w:pStyle w:val="NoSpacing"/>
        <w:rPr>
          <w:sz w:val="24"/>
          <w:szCs w:val="24"/>
        </w:rPr>
      </w:pPr>
    </w:p>
    <w:p w14:paraId="515E0C96" w14:textId="77777777" w:rsidR="00447ED5" w:rsidRDefault="00447ED5" w:rsidP="00D87958">
      <w:pPr>
        <w:pStyle w:val="NoSpacing"/>
        <w:rPr>
          <w:sz w:val="24"/>
          <w:szCs w:val="24"/>
        </w:rPr>
      </w:pPr>
    </w:p>
    <w:p w14:paraId="63ADE37E" w14:textId="4ABFF093" w:rsidR="002D6A07" w:rsidRDefault="002D6A07" w:rsidP="0080159E">
      <w:pPr>
        <w:pStyle w:val="NoSpacing"/>
        <w:rPr>
          <w:rFonts w:cstheme="minorHAnsi"/>
          <w:sz w:val="24"/>
          <w:szCs w:val="24"/>
        </w:rPr>
      </w:pPr>
      <w:r w:rsidRPr="002D6A07">
        <w:rPr>
          <w:rFonts w:cstheme="minorHAnsi"/>
          <w:sz w:val="24"/>
          <w:szCs w:val="24"/>
        </w:rPr>
        <w:t xml:space="preserve">Seems to be the general case that when dealing with single particles, it is more advantageous to consider direct computation of ket or operator time-development via the formulas in the previous files, rather than the stuff introduced below.  Only when we start dealing with multiple d.o.f., i.e. multiple particles, or with fields, does it become more convenient to focus on these latter constructs, i.e., propagators and GF’s, though the former methods still ‘work’ of course.  </w:t>
      </w:r>
    </w:p>
    <w:p w14:paraId="2DFE5206" w14:textId="77777777" w:rsidR="002D6A07" w:rsidRDefault="002D6A07" w:rsidP="0080159E">
      <w:pPr>
        <w:pStyle w:val="NoSpacing"/>
        <w:rPr>
          <w:rFonts w:cstheme="minorHAnsi"/>
          <w:sz w:val="24"/>
          <w:szCs w:val="24"/>
        </w:rPr>
      </w:pPr>
    </w:p>
    <w:p w14:paraId="6AB92C1A" w14:textId="77777777" w:rsidR="00E17BE9" w:rsidRDefault="00E17BE9" w:rsidP="00E17BE9">
      <w:pPr>
        <w:rPr>
          <w:rFonts w:asciiTheme="minorHAnsi" w:hAnsiTheme="minorHAnsi" w:cstheme="minorHAnsi"/>
        </w:rPr>
      </w:pPr>
      <w:r w:rsidRPr="0080159E">
        <w:rPr>
          <w:rFonts w:asciiTheme="minorHAnsi" w:hAnsiTheme="minorHAnsi" w:cstheme="minorHAnsi"/>
        </w:rPr>
        <w:t xml:space="preserve">Green’s functions can sometimes be employed to extract information about the system.  As usual, examining the time-evolution of a construct will tell us information about eigenstates/energies.  </w:t>
      </w:r>
      <w:r>
        <w:rPr>
          <w:rFonts w:asciiTheme="minorHAnsi" w:hAnsiTheme="minorHAnsi" w:cstheme="minorHAnsi"/>
        </w:rPr>
        <w:t>There are two constructs of somewhat frequent use in these contexts.  The first is the so-called propagator:</w:t>
      </w:r>
    </w:p>
    <w:p w14:paraId="457D0D95" w14:textId="77777777" w:rsidR="00E17BE9" w:rsidRDefault="00E17BE9" w:rsidP="00E17BE9">
      <w:pPr>
        <w:rPr>
          <w:rFonts w:asciiTheme="minorHAnsi" w:hAnsiTheme="minorHAnsi" w:cstheme="minorHAnsi"/>
        </w:rPr>
      </w:pPr>
    </w:p>
    <w:p w14:paraId="575FB75F" w14:textId="2B798714" w:rsidR="00E17BE9" w:rsidRDefault="00A50E94" w:rsidP="00E17BE9">
      <w:pPr>
        <w:rPr>
          <w:rFonts w:asciiTheme="minorHAnsi" w:hAnsiTheme="minorHAnsi" w:cstheme="minorHAnsi"/>
        </w:rPr>
      </w:pPr>
      <w:r w:rsidRPr="00E17BE9">
        <w:rPr>
          <w:rFonts w:asciiTheme="minorHAnsi" w:hAnsiTheme="minorHAnsi" w:cstheme="minorHAnsi"/>
          <w:position w:val="-14"/>
        </w:rPr>
        <w:object w:dxaOrig="2420" w:dyaOrig="420" w14:anchorId="00B40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8pt;height:20.4pt" o:ole="" filled="t" fillcolor="#cfc">
            <v:imagedata r:id="rId4" o:title=""/>
          </v:shape>
          <o:OLEObject Type="Embed" ProgID="Equation.DSMT4" ShapeID="_x0000_i1025" DrawAspect="Content" ObjectID="_1643375933" r:id="rId5"/>
        </w:object>
      </w:r>
    </w:p>
    <w:p w14:paraId="04B0AC09" w14:textId="08C4909E" w:rsidR="00E17BE9" w:rsidRDefault="00E17BE9" w:rsidP="00E17BE9">
      <w:pPr>
        <w:rPr>
          <w:rFonts w:asciiTheme="minorHAnsi" w:hAnsiTheme="minorHAnsi" w:cstheme="minorHAnsi"/>
        </w:rPr>
      </w:pPr>
    </w:p>
    <w:p w14:paraId="77ECAB7A" w14:textId="1227BB14" w:rsidR="00E17BE9" w:rsidRDefault="00E17BE9" w:rsidP="00E17BE9">
      <w:pPr>
        <w:rPr>
          <w:rFonts w:asciiTheme="minorHAnsi" w:hAnsiTheme="minorHAnsi" w:cstheme="minorHAnsi"/>
        </w:rPr>
      </w:pPr>
      <w:r>
        <w:rPr>
          <w:rFonts w:asciiTheme="minorHAnsi" w:hAnsiTheme="minorHAnsi" w:cstheme="minorHAnsi"/>
        </w:rPr>
        <w:t>and the second pertains to a variety of constructs variously called Green’s functions.  One such would be:</w:t>
      </w:r>
      <w:r w:rsidR="00A55AF1">
        <w:rPr>
          <w:rFonts w:asciiTheme="minorHAnsi" w:hAnsiTheme="minorHAnsi" w:cstheme="minorHAnsi"/>
        </w:rPr>
        <w:t xml:space="preserve">  </w:t>
      </w:r>
    </w:p>
    <w:p w14:paraId="05E0D719" w14:textId="1DA88B2A" w:rsidR="00E17BE9" w:rsidRDefault="00E17BE9" w:rsidP="00E17BE9">
      <w:pPr>
        <w:rPr>
          <w:rFonts w:asciiTheme="minorHAnsi" w:hAnsiTheme="minorHAnsi" w:cstheme="minorHAnsi"/>
        </w:rPr>
      </w:pPr>
    </w:p>
    <w:bookmarkStart w:id="0" w:name="_GoBack"/>
    <w:p w14:paraId="65EF7CC2" w14:textId="1D1D99A9" w:rsidR="00E17BE9" w:rsidRDefault="00C45001" w:rsidP="00E17BE9">
      <w:pPr>
        <w:rPr>
          <w:rFonts w:asciiTheme="minorHAnsi" w:hAnsiTheme="minorHAnsi" w:cstheme="minorHAnsi"/>
        </w:rPr>
      </w:pPr>
      <w:r w:rsidRPr="00E17BE9">
        <w:rPr>
          <w:rFonts w:asciiTheme="minorHAnsi" w:hAnsiTheme="minorHAnsi" w:cstheme="minorHAnsi"/>
          <w:position w:val="-14"/>
        </w:rPr>
        <w:object w:dxaOrig="2860" w:dyaOrig="400" w14:anchorId="64A0F74A">
          <v:shape id="_x0000_i1028" type="#_x0000_t75" style="width:143.2pt;height:20pt" o:ole="" filled="t" fillcolor="#cfc">
            <v:imagedata r:id="rId6" o:title=""/>
          </v:shape>
          <o:OLEObject Type="Embed" ProgID="Equation.DSMT4" ShapeID="_x0000_i1028" DrawAspect="Content" ObjectID="_1643375934" r:id="rId7"/>
        </w:object>
      </w:r>
      <w:bookmarkEnd w:id="0"/>
      <w:r w:rsidR="00E17BE9">
        <w:rPr>
          <w:rFonts w:asciiTheme="minorHAnsi" w:hAnsiTheme="minorHAnsi" w:cstheme="minorHAnsi"/>
        </w:rPr>
        <w:t xml:space="preserve"> </w:t>
      </w:r>
    </w:p>
    <w:p w14:paraId="069B82EE" w14:textId="16FA8D73" w:rsidR="00E17BE9" w:rsidRDefault="00E17BE9" w:rsidP="00E17BE9">
      <w:pPr>
        <w:rPr>
          <w:rFonts w:asciiTheme="minorHAnsi" w:hAnsiTheme="minorHAnsi" w:cstheme="minorHAnsi"/>
        </w:rPr>
      </w:pPr>
    </w:p>
    <w:p w14:paraId="251135F8" w14:textId="2E356F2C" w:rsidR="00E17BE9" w:rsidRPr="0080159E" w:rsidRDefault="00E17BE9" w:rsidP="00E17BE9">
      <w:pPr>
        <w:rPr>
          <w:rFonts w:asciiTheme="minorHAnsi" w:hAnsiTheme="minorHAnsi" w:cstheme="minorHAnsi"/>
        </w:rPr>
      </w:pPr>
      <w:r>
        <w:rPr>
          <w:rFonts w:asciiTheme="minorHAnsi" w:hAnsiTheme="minorHAnsi" w:cstheme="minorHAnsi"/>
        </w:rPr>
        <w:t xml:space="preserve">where </w:t>
      </w:r>
      <w:r>
        <w:rPr>
          <w:rFonts w:ascii="Calibri" w:hAnsi="Calibri" w:cs="Calibri"/>
        </w:rPr>
        <w:t>|Ω</w:t>
      </w:r>
      <w:r>
        <w:rPr>
          <w:rFonts w:ascii="Calibri" w:hAnsi="Calibri" w:cs="Calibri"/>
          <w:vertAlign w:val="subscript"/>
        </w:rPr>
        <w:t>0</w:t>
      </w:r>
      <w:r>
        <w:rPr>
          <w:rFonts w:ascii="Calibri" w:hAnsi="Calibri" w:cs="Calibri"/>
        </w:rPr>
        <w:t xml:space="preserve">&gt; is some state.  </w:t>
      </w:r>
      <w:r>
        <w:rPr>
          <w:rFonts w:asciiTheme="minorHAnsi" w:hAnsiTheme="minorHAnsi" w:cstheme="minorHAnsi"/>
        </w:rPr>
        <w:t>Again, one would find that the temporal FT of this construct would reveal the energy excitations of the system.</w:t>
      </w:r>
    </w:p>
    <w:p w14:paraId="38229208" w14:textId="77777777" w:rsidR="00E17BE9" w:rsidRPr="00E17BE9" w:rsidRDefault="00E17BE9" w:rsidP="0080159E">
      <w:pPr>
        <w:pStyle w:val="NoSpacing"/>
        <w:rPr>
          <w:rFonts w:cstheme="minorHAnsi"/>
          <w:b/>
          <w:sz w:val="24"/>
          <w:szCs w:val="24"/>
        </w:rPr>
      </w:pPr>
    </w:p>
    <w:sectPr w:rsidR="00E17BE9" w:rsidRPr="00E17B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CB2"/>
    <w:rsid w:val="00025A2A"/>
    <w:rsid w:val="00087059"/>
    <w:rsid w:val="00133166"/>
    <w:rsid w:val="001A1392"/>
    <w:rsid w:val="002D6A07"/>
    <w:rsid w:val="003B2AF0"/>
    <w:rsid w:val="003F237A"/>
    <w:rsid w:val="004349E5"/>
    <w:rsid w:val="00434A71"/>
    <w:rsid w:val="00434D52"/>
    <w:rsid w:val="00447ED5"/>
    <w:rsid w:val="004B39D7"/>
    <w:rsid w:val="00531ACC"/>
    <w:rsid w:val="00581959"/>
    <w:rsid w:val="005A11A3"/>
    <w:rsid w:val="0071280F"/>
    <w:rsid w:val="007452CC"/>
    <w:rsid w:val="007626DA"/>
    <w:rsid w:val="007A0E9C"/>
    <w:rsid w:val="007E4E01"/>
    <w:rsid w:val="0080159E"/>
    <w:rsid w:val="008601FF"/>
    <w:rsid w:val="00874286"/>
    <w:rsid w:val="00877EE0"/>
    <w:rsid w:val="008B2E75"/>
    <w:rsid w:val="008F4027"/>
    <w:rsid w:val="009D5095"/>
    <w:rsid w:val="00A50E94"/>
    <w:rsid w:val="00A55AF1"/>
    <w:rsid w:val="00AA1CB2"/>
    <w:rsid w:val="00AD7292"/>
    <w:rsid w:val="00BC396F"/>
    <w:rsid w:val="00BD03C0"/>
    <w:rsid w:val="00C433D5"/>
    <w:rsid w:val="00C45001"/>
    <w:rsid w:val="00D87958"/>
    <w:rsid w:val="00DA7CF7"/>
    <w:rsid w:val="00E037CF"/>
    <w:rsid w:val="00E17BE9"/>
    <w:rsid w:val="00E62FF6"/>
    <w:rsid w:val="00F65480"/>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6F03B"/>
  <w15:chartTrackingRefBased/>
  <w15:docId w15:val="{E7D21AF7-8B52-4C92-B465-84A20CD38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879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79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2.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24</cp:revision>
  <dcterms:created xsi:type="dcterms:W3CDTF">2019-10-06T16:13:00Z</dcterms:created>
  <dcterms:modified xsi:type="dcterms:W3CDTF">2020-02-16T21:32:00Z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